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A1" w:rsidRPr="005F4ABB" w:rsidRDefault="00DD5BA1" w:rsidP="005F4ABB">
      <w:pPr>
        <w:jc w:val="center"/>
        <w:rPr>
          <w:b/>
          <w:sz w:val="24"/>
          <w:szCs w:val="24"/>
        </w:rPr>
      </w:pPr>
      <w:r w:rsidRPr="005F4ABB">
        <w:rPr>
          <w:b/>
          <w:sz w:val="24"/>
          <w:szCs w:val="24"/>
        </w:rPr>
        <w:t xml:space="preserve">Приклади оформлення </w:t>
      </w:r>
      <w:proofErr w:type="spellStart"/>
      <w:r w:rsidRPr="005F4ABB">
        <w:rPr>
          <w:b/>
          <w:sz w:val="24"/>
          <w:szCs w:val="24"/>
        </w:rPr>
        <w:t>позатекстових</w:t>
      </w:r>
      <w:proofErr w:type="spellEnd"/>
      <w:r w:rsidRPr="005F4ABB">
        <w:rPr>
          <w:b/>
          <w:sz w:val="24"/>
          <w:szCs w:val="24"/>
        </w:rPr>
        <w:t xml:space="preserve"> бібліографічних посилань:</w:t>
      </w:r>
    </w:p>
    <w:p w:rsidR="00DD5BA1" w:rsidRPr="005F4ABB" w:rsidRDefault="00DD5BA1" w:rsidP="005F4ABB">
      <w:pPr>
        <w:jc w:val="both"/>
        <w:rPr>
          <w:b/>
          <w:i/>
          <w:sz w:val="24"/>
          <w:szCs w:val="24"/>
        </w:rPr>
      </w:pPr>
      <w:r w:rsidRPr="005F4ABB">
        <w:rPr>
          <w:b/>
          <w:i/>
          <w:sz w:val="24"/>
          <w:szCs w:val="24"/>
        </w:rPr>
        <w:t xml:space="preserve">У тексті: </w:t>
      </w:r>
    </w:p>
    <w:p w:rsidR="00DD5BA1" w:rsidRPr="005F4ABB" w:rsidRDefault="00DD5BA1" w:rsidP="005F4ABB">
      <w:pPr>
        <w:jc w:val="both"/>
        <w:rPr>
          <w:sz w:val="24"/>
          <w:szCs w:val="24"/>
        </w:rPr>
      </w:pPr>
      <w:r w:rsidRPr="005F4ABB">
        <w:rPr>
          <w:sz w:val="24"/>
          <w:szCs w:val="24"/>
        </w:rPr>
        <w:t>Відповідно до ст. 3 Кримінального процесуального кодексу України дізнання визначається як форма досудового розслідування, в якій здійснюється розслідування кримінальних проступків [5].</w:t>
      </w:r>
    </w:p>
    <w:p w:rsidR="00DD5BA1" w:rsidRPr="005F4ABB" w:rsidRDefault="00DD5BA1" w:rsidP="005F4ABB">
      <w:pPr>
        <w:jc w:val="both"/>
        <w:rPr>
          <w:b/>
          <w:i/>
          <w:sz w:val="24"/>
          <w:szCs w:val="24"/>
        </w:rPr>
      </w:pPr>
      <w:r w:rsidRPr="005F4ABB">
        <w:rPr>
          <w:b/>
          <w:i/>
          <w:sz w:val="24"/>
          <w:szCs w:val="24"/>
        </w:rPr>
        <w:t xml:space="preserve">У </w:t>
      </w:r>
      <w:proofErr w:type="spellStart"/>
      <w:r w:rsidRPr="005F4ABB">
        <w:rPr>
          <w:b/>
          <w:i/>
          <w:sz w:val="24"/>
          <w:szCs w:val="24"/>
        </w:rPr>
        <w:t>позатекстовому</w:t>
      </w:r>
      <w:proofErr w:type="spellEnd"/>
      <w:r w:rsidRPr="005F4ABB">
        <w:rPr>
          <w:b/>
          <w:i/>
          <w:sz w:val="24"/>
          <w:szCs w:val="24"/>
        </w:rPr>
        <w:t xml:space="preserve"> посиланні:</w:t>
      </w:r>
    </w:p>
    <w:p w:rsidR="00DD5BA1" w:rsidRPr="005F4ABB" w:rsidRDefault="005F4ABB" w:rsidP="005F4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5BA1" w:rsidRPr="005F4ABB">
        <w:rPr>
          <w:sz w:val="24"/>
          <w:szCs w:val="24"/>
        </w:rPr>
        <w:t xml:space="preserve">Кримінально-процесуальний кодекс України: за станом на 1 груд. 2005 р. / Верховна Рада України.- </w:t>
      </w:r>
      <w:proofErr w:type="spellStart"/>
      <w:r w:rsidR="00DD5BA1" w:rsidRPr="005F4ABB">
        <w:rPr>
          <w:sz w:val="24"/>
          <w:szCs w:val="24"/>
        </w:rPr>
        <w:t>Офіц</w:t>
      </w:r>
      <w:proofErr w:type="spellEnd"/>
      <w:r w:rsidR="00DD5BA1" w:rsidRPr="005F4ABB">
        <w:rPr>
          <w:sz w:val="24"/>
          <w:szCs w:val="24"/>
        </w:rPr>
        <w:t xml:space="preserve">. Вид.- К.: </w:t>
      </w:r>
      <w:proofErr w:type="spellStart"/>
      <w:r w:rsidR="00DD5BA1" w:rsidRPr="005F4ABB">
        <w:rPr>
          <w:sz w:val="24"/>
          <w:szCs w:val="24"/>
        </w:rPr>
        <w:t>Парлам</w:t>
      </w:r>
      <w:proofErr w:type="spellEnd"/>
      <w:r w:rsidR="00DD5BA1" w:rsidRPr="005F4ABB">
        <w:rPr>
          <w:sz w:val="24"/>
          <w:szCs w:val="24"/>
        </w:rPr>
        <w:t>. Вид-во, 2006.- 207 с. – (Бібліотека офіційних видань).</w:t>
      </w:r>
    </w:p>
    <w:p w:rsidR="00DD5BA1" w:rsidRPr="005F4ABB" w:rsidRDefault="00DD5BA1" w:rsidP="005F4ABB">
      <w:pPr>
        <w:jc w:val="both"/>
        <w:rPr>
          <w:sz w:val="24"/>
          <w:szCs w:val="24"/>
        </w:rPr>
      </w:pPr>
    </w:p>
    <w:p w:rsidR="00DD5BA1" w:rsidRPr="00174272" w:rsidRDefault="00DD5BA1" w:rsidP="005F4ABB">
      <w:pPr>
        <w:jc w:val="both"/>
        <w:rPr>
          <w:i/>
          <w:sz w:val="24"/>
          <w:szCs w:val="24"/>
        </w:rPr>
      </w:pPr>
      <w:r w:rsidRPr="00174272">
        <w:rPr>
          <w:i/>
          <w:sz w:val="24"/>
          <w:szCs w:val="24"/>
        </w:rPr>
        <w:t xml:space="preserve">Якщо в тексті згадують конкретну частину тексту документа, після неї можна зазначати (у квадратних дужках) порядковий номер </w:t>
      </w:r>
      <w:proofErr w:type="spellStart"/>
      <w:r w:rsidRPr="00174272">
        <w:rPr>
          <w:i/>
          <w:sz w:val="24"/>
          <w:szCs w:val="24"/>
        </w:rPr>
        <w:t>позатекстового</w:t>
      </w:r>
      <w:proofErr w:type="spellEnd"/>
      <w:r w:rsidRPr="00174272">
        <w:rPr>
          <w:i/>
          <w:sz w:val="24"/>
          <w:szCs w:val="24"/>
        </w:rPr>
        <w:t xml:space="preserve"> бібліографічного посилання та сторінку, на якій подано цей об’єкт посилання. Між поданими відомостями проставляють знак «кома».</w:t>
      </w:r>
    </w:p>
    <w:p w:rsidR="00DD5BA1" w:rsidRPr="00174272" w:rsidRDefault="00DD5BA1" w:rsidP="005F4ABB">
      <w:pPr>
        <w:jc w:val="both"/>
        <w:rPr>
          <w:b/>
          <w:i/>
          <w:sz w:val="24"/>
          <w:szCs w:val="24"/>
        </w:rPr>
      </w:pPr>
      <w:r w:rsidRPr="00174272">
        <w:rPr>
          <w:b/>
          <w:i/>
          <w:sz w:val="24"/>
          <w:szCs w:val="24"/>
        </w:rPr>
        <w:t xml:space="preserve">У тексті: </w:t>
      </w:r>
    </w:p>
    <w:p w:rsidR="00DD5BA1" w:rsidRPr="005F4ABB" w:rsidRDefault="00DD5BA1" w:rsidP="005F4ABB">
      <w:pPr>
        <w:jc w:val="both"/>
        <w:rPr>
          <w:sz w:val="24"/>
          <w:szCs w:val="24"/>
        </w:rPr>
      </w:pPr>
      <w:r w:rsidRPr="005F4ABB">
        <w:rPr>
          <w:sz w:val="24"/>
          <w:szCs w:val="24"/>
        </w:rPr>
        <w:t xml:space="preserve">     Електронні гроші мають майнову цінність, оскільки є «передплаченими» грошима, які для зручності обігу «</w:t>
      </w:r>
      <w:proofErr w:type="spellStart"/>
      <w:r w:rsidRPr="005F4ABB">
        <w:rPr>
          <w:sz w:val="24"/>
          <w:szCs w:val="24"/>
        </w:rPr>
        <w:t>знерухомлюються</w:t>
      </w:r>
      <w:proofErr w:type="spellEnd"/>
      <w:r w:rsidRPr="005F4ABB">
        <w:rPr>
          <w:sz w:val="24"/>
          <w:szCs w:val="24"/>
        </w:rPr>
        <w:t>», в момент емісії переводяться в електронний вигляд, що забезпечує їм незрівнянну з класичними грошима зручність та швидкість обігу [18, с. 38];[18, c. 41].</w:t>
      </w:r>
    </w:p>
    <w:p w:rsidR="00DD5BA1" w:rsidRPr="00174272" w:rsidRDefault="00DD5BA1" w:rsidP="005F4ABB">
      <w:pPr>
        <w:jc w:val="both"/>
        <w:rPr>
          <w:b/>
          <w:i/>
          <w:sz w:val="24"/>
          <w:szCs w:val="24"/>
        </w:rPr>
      </w:pPr>
      <w:r w:rsidRPr="00174272">
        <w:rPr>
          <w:b/>
          <w:i/>
          <w:sz w:val="24"/>
          <w:szCs w:val="24"/>
        </w:rPr>
        <w:t xml:space="preserve">У </w:t>
      </w:r>
      <w:proofErr w:type="spellStart"/>
      <w:r w:rsidRPr="00174272">
        <w:rPr>
          <w:b/>
          <w:i/>
          <w:sz w:val="24"/>
          <w:szCs w:val="24"/>
        </w:rPr>
        <w:t>позатекстовому</w:t>
      </w:r>
      <w:proofErr w:type="spellEnd"/>
      <w:r w:rsidRPr="00174272">
        <w:rPr>
          <w:b/>
          <w:i/>
          <w:sz w:val="24"/>
          <w:szCs w:val="24"/>
        </w:rPr>
        <w:t xml:space="preserve"> посиланні:</w:t>
      </w:r>
      <w:bookmarkStart w:id="0" w:name="_GoBack"/>
      <w:bookmarkEnd w:id="0"/>
    </w:p>
    <w:p w:rsidR="00DD5BA1" w:rsidRPr="005F4ABB" w:rsidRDefault="00DD5BA1" w:rsidP="005F4ABB">
      <w:pPr>
        <w:jc w:val="both"/>
        <w:rPr>
          <w:sz w:val="24"/>
          <w:szCs w:val="24"/>
        </w:rPr>
      </w:pPr>
      <w:r w:rsidRPr="005F4ABB">
        <w:rPr>
          <w:sz w:val="24"/>
          <w:szCs w:val="24"/>
        </w:rPr>
        <w:t>18. Шимон С. Електронні гроші: форма грошей чи майнові права вимоги? / С. Шимон // Юридична Україна. – 2015. – № 9. – С. 36- 41. – Режим доступу: http://nbuv.gov.ua/UJRN/ urykr_2015_9_7.</w:t>
      </w:r>
    </w:p>
    <w:p w:rsidR="00DD5BA1" w:rsidRPr="005F4ABB" w:rsidRDefault="00DD5BA1" w:rsidP="005F4ABB">
      <w:pPr>
        <w:jc w:val="both"/>
        <w:rPr>
          <w:sz w:val="24"/>
          <w:szCs w:val="24"/>
        </w:rPr>
      </w:pPr>
    </w:p>
    <w:p w:rsidR="00DD5BA1" w:rsidRPr="005F4ABB" w:rsidRDefault="00DD5BA1" w:rsidP="005F4ABB">
      <w:pPr>
        <w:jc w:val="both"/>
        <w:rPr>
          <w:sz w:val="24"/>
          <w:szCs w:val="24"/>
        </w:rPr>
      </w:pPr>
    </w:p>
    <w:p w:rsidR="0047535B" w:rsidRPr="005F4ABB" w:rsidRDefault="0047535B" w:rsidP="005F4ABB">
      <w:pPr>
        <w:jc w:val="both"/>
        <w:rPr>
          <w:sz w:val="24"/>
          <w:szCs w:val="24"/>
        </w:rPr>
      </w:pPr>
    </w:p>
    <w:sectPr w:rsidR="0047535B" w:rsidRPr="005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33FD"/>
    <w:multiLevelType w:val="hybridMultilevel"/>
    <w:tmpl w:val="1E504C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6B"/>
    <w:rsid w:val="0007122C"/>
    <w:rsid w:val="00174272"/>
    <w:rsid w:val="00192AE4"/>
    <w:rsid w:val="0047535B"/>
    <w:rsid w:val="005F4ABB"/>
    <w:rsid w:val="00DD5BA1"/>
    <w:rsid w:val="00E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703F-7A03-43C3-927C-85BEBB5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A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5BA1"/>
    <w:pPr>
      <w:ind w:left="720"/>
      <w:contextualSpacing/>
    </w:pPr>
  </w:style>
  <w:style w:type="character" w:styleId="a4">
    <w:name w:val="Strong"/>
    <w:basedOn w:val="a0"/>
    <w:uiPriority w:val="22"/>
    <w:qFormat/>
    <w:rsid w:val="00DD5BA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D5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B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2017-10-03T10:21:00Z</dcterms:created>
  <dcterms:modified xsi:type="dcterms:W3CDTF">2017-10-03T10:48:00Z</dcterms:modified>
</cp:coreProperties>
</file>